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left"/>
      </w:pPr>
      <w:r>
        <w:t>Availability &amp; Support Policy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</w:tcPr>
          <w:p>
            <w:r>
              <w:t>Owner</w:t>
            </w:r>
          </w:p>
        </w:tc>
        <w:tc>
          <w:tcPr>
            <w:tcW w:type="dxa" w:w="5040"/>
          </w:tcPr>
          <w:p>
            <w:r>
              <w:t>Operations</w:t>
            </w:r>
          </w:p>
        </w:tc>
      </w:tr>
      <w:tr>
        <w:tc>
          <w:tcPr>
            <w:tcW w:type="dxa" w:w="5040"/>
          </w:tcPr>
          <w:p>
            <w:r>
              <w:t>Effective from</w:t>
            </w:r>
          </w:p>
        </w:tc>
        <w:tc>
          <w:tcPr>
            <w:tcW w:type="dxa" w:w="5040"/>
          </w:tcPr>
          <w:p>
            <w:r>
              <w:t>8 July 2026</w:t>
            </w:r>
          </w:p>
        </w:tc>
      </w:tr>
      <w:tr>
        <w:tc>
          <w:tcPr>
            <w:tcW w:type="dxa" w:w="5040"/>
          </w:tcPr>
          <w:p>
            <w:r>
              <w:t>Last reviewed</w:t>
            </w:r>
          </w:p>
        </w:tc>
        <w:tc>
          <w:tcPr>
            <w:tcW w:type="dxa" w:w="5040"/>
          </w:tcPr>
          <w:p>
            <w:r>
              <w:t>8 July 2026</w:t>
            </w:r>
          </w:p>
        </w:tc>
      </w:tr>
      <w:tr>
        <w:tc>
          <w:tcPr>
            <w:tcW w:type="dxa" w:w="5040"/>
          </w:tcPr>
          <w:p>
            <w:r>
              <w:t>Review cycle</w:t>
            </w:r>
          </w:p>
        </w:tc>
        <w:tc>
          <w:tcPr>
            <w:tcW w:type="dxa" w:w="5040"/>
          </w:tcPr>
          <w:p>
            <w:r>
              <w:t>Annual or following material change</w:t>
            </w:r>
          </w:p>
        </w:tc>
      </w:tr>
    </w:tbl>
    <w:p>
      <w:r>
        <w:t>How Finpliq communicates support, maintenance and availability expectations.</w:t>
      </w:r>
    </w:p>
    <w:p>
      <w:pPr>
        <w:pStyle w:val="Heading1"/>
      </w:pPr>
      <w:r>
        <w:t>At a glance</w:t>
      </w:r>
    </w:p>
    <w:p>
      <w:pPr>
        <w:pStyle w:val="ListBullet"/>
      </w:pPr>
      <w:r>
        <w:t>Support is provided through published contact channels and product support routes where available.</w:t>
      </w:r>
    </w:p>
    <w:p>
      <w:pPr>
        <w:pStyle w:val="ListBullet"/>
      </w:pPr>
      <w:r>
        <w:t>Availability targets should be described as targets unless backed by a contractual SLA.</w:t>
      </w:r>
    </w:p>
    <w:p>
      <w:pPr>
        <w:pStyle w:val="Heading2"/>
      </w:pPr>
      <w:r>
        <w:t>Full policy</w:t>
      </w:r>
    </w:p>
    <w:p>
      <w:pPr>
        <w:pStyle w:val="ListBullet"/>
      </w:pPr>
      <w:r>
        <w:t>Support channels include the published Finpliq contact email and any in-product support flows enabled in the application.</w:t>
      </w:r>
    </w:p>
    <w:p>
      <w:pPr>
        <w:pStyle w:val="ListBullet"/>
      </w:pPr>
      <w:r>
        <w:t>Maintenance may be scheduled outside peak business hours where possible. Urgent security or reliability fixes may be deployed sooner.</w:t>
      </w:r>
    </w:p>
    <w:p>
      <w:pPr>
        <w:pStyle w:val="ListBullet"/>
      </w:pPr>
      <w:r>
        <w:t>Incident communication should state known impact, affected services, progress and recovery steps without exposing sensitive information.</w:t>
      </w:r>
    </w:p>
    <w:p>
      <w:r>
        <w:t>This document is intended to support customer assurance, HMRC due diligence, accountant review and internal governance. It is not legal advice.</w:t>
      </w:r>
    </w:p>
    <w:sectPr w:rsidR="00FC693F" w:rsidRPr="0006063C" w:rsidSect="00034616"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