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Backup &amp; Disaster Recovery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Operations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plans for service continuity, recovery and data restoration.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should maintain deployment and database recovery procedures suitable for a UK accounting SaaS.</w:t>
      </w:r>
    </w:p>
    <w:p>
      <w:pPr>
        <w:pStyle w:val="ListBullet"/>
      </w:pPr>
      <w:r>
        <w:t>Recovery capability depends on the configured hosting, database and backup services in production.</w:t>
      </w:r>
    </w:p>
    <w:p>
      <w:pPr>
        <w:pStyle w:val="Heading2"/>
      </w:pPr>
      <w:r>
        <w:t>Full policy</w:t>
      </w:r>
    </w:p>
    <w:p>
      <w:pPr>
        <w:pStyle w:val="ListBullet"/>
      </w:pPr>
      <w:r>
        <w:t>Critical services include the web application, database, authentication, email delivery, billing integration and filing-related workflows.</w:t>
      </w:r>
    </w:p>
    <w:p>
      <w:pPr>
        <w:pStyle w:val="ListBullet"/>
      </w:pPr>
      <w:r>
        <w:t>Backups should be encrypted or protected by supplier controls, tested periodically and retained according to operational and legal needs.</w:t>
      </w:r>
    </w:p>
    <w:p>
      <w:pPr>
        <w:pStyle w:val="ListBullet"/>
      </w:pPr>
      <w:r>
        <w:t>Disaster recovery plans should define roles, severity levels, communication channels, recovery priorities, data restoration steps and post-incident review.</w:t>
      </w:r>
    </w:p>
    <w:p>
      <w:pPr>
        <w:pStyle w:val="ListBullet"/>
      </w:pPr>
      <w:r>
        <w:t>Where exact RTO/RPO commitments are not contractually guaranteed, Finpliq should state target rather than guaranteed recovery objectives.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