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left"/>
      </w:pPr>
      <w:r>
        <w:t>Data Processing Agreement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</w:tcPr>
          <w:p>
            <w:r>
              <w:t>Owner</w:t>
            </w:r>
          </w:p>
        </w:tc>
        <w:tc>
          <w:tcPr>
            <w:tcW w:type="dxa" w:w="5040"/>
          </w:tcPr>
          <w:p>
            <w:r>
              <w:t>Data Protection</w:t>
            </w:r>
          </w:p>
        </w:tc>
      </w:tr>
      <w:tr>
        <w:tc>
          <w:tcPr>
            <w:tcW w:type="dxa" w:w="5040"/>
          </w:tcPr>
          <w:p>
            <w:r>
              <w:t>Effective from</w:t>
            </w:r>
          </w:p>
        </w:tc>
        <w:tc>
          <w:tcPr>
            <w:tcW w:type="dxa" w:w="5040"/>
          </w:tcPr>
          <w:p>
            <w:r>
              <w:t>8 July 2026</w:t>
            </w:r>
          </w:p>
        </w:tc>
      </w:tr>
      <w:tr>
        <w:tc>
          <w:tcPr>
            <w:tcW w:type="dxa" w:w="5040"/>
          </w:tcPr>
          <w:p>
            <w:r>
              <w:t>Last reviewed</w:t>
            </w:r>
          </w:p>
        </w:tc>
        <w:tc>
          <w:tcPr>
            <w:tcW w:type="dxa" w:w="5040"/>
          </w:tcPr>
          <w:p>
            <w:r>
              <w:t>8 July 2026</w:t>
            </w:r>
          </w:p>
        </w:tc>
      </w:tr>
      <w:tr>
        <w:tc>
          <w:tcPr>
            <w:tcW w:type="dxa" w:w="5040"/>
          </w:tcPr>
          <w:p>
            <w:r>
              <w:t>Review cycle</w:t>
            </w:r>
          </w:p>
        </w:tc>
        <w:tc>
          <w:tcPr>
            <w:tcW w:type="dxa" w:w="5040"/>
          </w:tcPr>
          <w:p>
            <w:r>
              <w:t>Annual or following material change</w:t>
            </w:r>
          </w:p>
        </w:tc>
      </w:tr>
    </w:tbl>
    <w:p>
      <w:r>
        <w:t>Controller/processor terms for businesses using Finpliq to manage records containing personal data.</w:t>
      </w:r>
    </w:p>
    <w:p>
      <w:pPr>
        <w:pStyle w:val="Heading1"/>
      </w:pPr>
      <w:r>
        <w:t>At a glance</w:t>
      </w:r>
    </w:p>
    <w:p>
      <w:pPr>
        <w:pStyle w:val="ListBullet"/>
      </w:pPr>
      <w:r>
        <w:t>Customers remain responsible for the personal data they enter into Finpliq.</w:t>
      </w:r>
    </w:p>
    <w:p>
      <w:pPr>
        <w:pStyle w:val="ListBullet"/>
      </w:pPr>
      <w:r>
        <w:t>Finpliq processes customer data to provide the service and support lawful accounting/compliance use cases.</w:t>
      </w:r>
    </w:p>
    <w:p>
      <w:pPr>
        <w:pStyle w:val="Heading2"/>
      </w:pPr>
      <w:r>
        <w:t>Full policy</w:t>
      </w:r>
    </w:p>
    <w:p>
      <w:pPr>
        <w:pStyle w:val="ListBullet"/>
      </w:pPr>
      <w:r>
        <w:t>The customer is generally controller of personal data placed into business records, while TA&amp;T Ltd acts as processor for service delivery unless acting as controller for account, billing, security or legal compliance data.</w:t>
      </w:r>
    </w:p>
    <w:p>
      <w:pPr>
        <w:pStyle w:val="ListBullet"/>
      </w:pPr>
      <w:r>
        <w:t>Processing includes hosting, storage, authentication, support, transaction processing, filing workflow preparation, audit logging and transactional communication.</w:t>
      </w:r>
    </w:p>
    <w:p>
      <w:pPr>
        <w:pStyle w:val="ListBullet"/>
      </w:pPr>
      <w:r>
        <w:t>Subprocessors should be limited to the suppliers required to operate Finpliq, such as hosting/database infrastructure, email delivery, payment processing and HMRC API connectivity where applicable.</w:t>
      </w:r>
    </w:p>
    <w:p>
      <w:pPr>
        <w:pStyle w:val="ListBullet"/>
      </w:pPr>
      <w:r>
        <w:t>Finpliq must assist customers with data subject requests where technically possible and legally required.</w:t>
      </w:r>
    </w:p>
    <w:p>
      <w:r>
        <w:t>This document is intended to support customer assurance, HMRC due diligence, accountant review and internal governance. It is not legal advice.</w:t>
      </w:r>
    </w:p>
    <w:sectPr w:rsidR="00FC693F" w:rsidRPr="0006063C" w:rsidSect="00034616"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