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Encryption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Security &amp; Engineering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protects sensitive records, secrets, tokens and credentials.</w:t>
      </w:r>
    </w:p>
    <w:p>
      <w:pPr>
        <w:pStyle w:val="Heading1"/>
      </w:pPr>
      <w:r>
        <w:t>At a glance</w:t>
      </w:r>
    </w:p>
    <w:p>
      <w:pPr>
        <w:pStyle w:val="ListBullet"/>
      </w:pPr>
      <w:r>
        <w:t>Sensitive secrets must not be stored or logged in plaintext.</w:t>
      </w:r>
    </w:p>
    <w:p>
      <w:pPr>
        <w:pStyle w:val="ListBullet"/>
      </w:pPr>
      <w:r>
        <w:t>Server-side encryption keys must remain outside client code and source control.</w:t>
      </w:r>
    </w:p>
    <w:p>
      <w:pPr>
        <w:pStyle w:val="Heading2"/>
      </w:pPr>
      <w:r>
        <w:t>Full policy</w:t>
      </w:r>
    </w:p>
    <w:p>
      <w:pPr>
        <w:pStyle w:val="ListBullet"/>
      </w:pPr>
      <w:r>
        <w:t>Transport encryption should be used through HTTPS/TLS in production.</w:t>
      </w:r>
    </w:p>
    <w:p>
      <w:pPr>
        <w:pStyle w:val="ListBullet"/>
      </w:pPr>
      <w:r>
        <w:t>Application-level encryption is required for high-sensitivity secrets such as MFA secrets and HMRC tokens/credentials where stored by the application.</w:t>
      </w:r>
    </w:p>
    <w:p>
      <w:pPr>
        <w:pStyle w:val="ListBullet"/>
      </w:pPr>
      <w:r>
        <w:t>Encryption keys must be stored as environment secrets, rotated where required and restricted to the server environment.</w:t>
      </w:r>
    </w:p>
    <w:p>
      <w:pPr>
        <w:pStyle w:val="ListBullet"/>
      </w:pPr>
      <w:r>
        <w:t>Logs, emails and client responses must not contain raw secrets, access tokens, MFA recovery codes or passwords.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