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Financial Data Import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Product &amp; Compliance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handles manual statement imports, CSV/Excel/PDF uploads, receipt uploads and user-controlled categorisation.</w:t>
      </w:r>
    </w:p>
    <w:p>
      <w:pPr>
        <w:pStyle w:val="Heading1"/>
      </w:pPr>
      <w:r>
        <w:t>At a glance</w:t>
      </w:r>
    </w:p>
    <w:p>
      <w:pPr>
        <w:pStyle w:val="ListBullet"/>
      </w:pPr>
      <w:r>
        <w:t>Finpliq supports manual financial data import workflows such as bank statement uploads and data import review where implemented.</w:t>
      </w:r>
    </w:p>
    <w:p>
      <w:pPr>
        <w:pStyle w:val="ListBullet"/>
      </w:pPr>
      <w:r>
        <w:t>Open Banking should not be described as live unless enabled in the production environment.</w:t>
      </w:r>
    </w:p>
    <w:p>
      <w:pPr>
        <w:pStyle w:val="Heading2"/>
      </w:pPr>
      <w:r>
        <w:t>Full policy</w:t>
      </w:r>
    </w:p>
    <w:p>
      <w:pPr>
        <w:pStyle w:val="ListBullet"/>
      </w:pPr>
      <w:r>
        <w:t>Users may upload financial records such as CSV, Excel or PDF bank statements, receipts, invoices and related bookkeeping evidence where supported by the product.</w:t>
      </w:r>
    </w:p>
    <w:p>
      <w:pPr>
        <w:pStyle w:val="ListBullet"/>
      </w:pPr>
      <w:r>
        <w:t>Imported records should be previewed, validated, categorised and approved before they affect reports or filing workflows.</w:t>
      </w:r>
    </w:p>
    <w:p>
      <w:pPr>
        <w:pStyle w:val="ListBullet"/>
      </w:pPr>
      <w:r>
        <w:t>Uploaded files and extracted data should be protected by authentication, business-level access controls and server-side storage controls.</w:t>
      </w:r>
    </w:p>
    <w:p>
      <w:pPr>
        <w:pStyle w:val="ListBullet"/>
      </w:pPr>
      <w:r>
        <w:t>Import errors, duplicates and uncertain classifications should be surfaced for user review rather than silently accepted.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