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HMRC Filing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Product &amp; Compliance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handles supported HMRC workflows, validation, approval, submission evidence and correction routes.</w:t>
      </w:r>
    </w:p>
    <w:p>
      <w:pPr>
        <w:pStyle w:val="Heading1"/>
      </w:pPr>
      <w:r>
        <w:t>At a glance</w:t>
      </w:r>
    </w:p>
    <w:p>
      <w:pPr>
        <w:pStyle w:val="ListBullet"/>
      </w:pPr>
      <w:r>
        <w:t>Finpliq supports HMRC-related workflows where implemented in the product, including review and evidence where available.</w:t>
      </w:r>
    </w:p>
    <w:p>
      <w:pPr>
        <w:pStyle w:val="ListBullet"/>
      </w:pPr>
      <w:r>
        <w:t>Finpliq must not claim HMRC approval, recognition or certification unless this has been formally achieved and documented.</w:t>
      </w:r>
    </w:p>
    <w:p>
      <w:pPr>
        <w:pStyle w:val="Heading2"/>
      </w:pPr>
      <w:r>
        <w:t>Full policy</w:t>
      </w:r>
    </w:p>
    <w:p>
      <w:pPr>
        <w:pStyle w:val="ListBullet"/>
      </w:pPr>
      <w:r>
        <w:t>Supported workflows should be described accurately by release status. Finpliq should distinguish live, test, sandbox, readiness and planned filing functionality.</w:t>
      </w:r>
    </w:p>
    <w:p>
      <w:pPr>
        <w:pStyle w:val="ListBullet"/>
      </w:pPr>
      <w:r>
        <w:t>Users must review data, warnings and approval steps before submission. AI or automation must not submit filings without user authorisation.</w:t>
      </w:r>
    </w:p>
    <w:p>
      <w:pPr>
        <w:pStyle w:val="ListBullet"/>
      </w:pPr>
      <w:r>
        <w:t>Submission receipts, request/response metadata, correlation identifiers and filing history should be retained where available to support evidence and corrections.</w:t>
      </w:r>
    </w:p>
    <w:p>
      <w:pPr>
        <w:pStyle w:val="ListBullet"/>
      </w:pPr>
      <w:r>
        <w:t>Corrections depend on the filing type, HMRC rules and whether the relevant correction workflow is implemented in Finpliq.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