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Incident Response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Security &amp; Compliance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identifies, responds to and communicates security incidents.</w:t>
      </w:r>
    </w:p>
    <w:p>
      <w:pPr>
        <w:pStyle w:val="Heading1"/>
      </w:pPr>
      <w:r>
        <w:t>At a glance</w:t>
      </w:r>
    </w:p>
    <w:p>
      <w:pPr>
        <w:pStyle w:val="ListBullet"/>
      </w:pPr>
      <w:r>
        <w:t>Security incidents are triaged, contained, investigated and recorded.</w:t>
      </w:r>
    </w:p>
    <w:p>
      <w:pPr>
        <w:pStyle w:val="ListBullet"/>
      </w:pPr>
      <w:r>
        <w:t>Customer, ICO or HMRC notifications are made where legally or contractually required.</w:t>
      </w:r>
    </w:p>
    <w:p>
      <w:pPr>
        <w:pStyle w:val="Heading2"/>
      </w:pPr>
      <w:r>
        <w:t>Full policy</w:t>
      </w:r>
    </w:p>
    <w:p>
      <w:pPr>
        <w:pStyle w:val="ListBullet"/>
      </w:pPr>
      <w:r>
        <w:t>Incident categories include unauthorised access, suspected data breach, tenant isolation failure, compromised credentials, suspicious admin activity, service disruption, malware, supplier incident and HMRC filing/security incident.</w:t>
      </w:r>
    </w:p>
    <w:p>
      <w:pPr>
        <w:pStyle w:val="ListBullet"/>
      </w:pPr>
      <w:r>
        <w:t>Response steps include detection, triage, containment, evidence preservation, eradication, recovery, communication and post-incident review.</w:t>
      </w:r>
    </w:p>
    <w:p>
      <w:pPr>
        <w:pStyle w:val="ListBullet"/>
      </w:pPr>
      <w:r>
        <w:t>Incident records should include timeline, affected systems, affected data, decisions, communications, remedial actions and lessons learned.</w:t>
      </w:r>
    </w:p>
    <w:p>
      <w:pPr>
        <w:pStyle w:val="ListBullet"/>
      </w:pPr>
      <w:r>
        <w:t>No incident communication should speculate or conceal material facts. Communications must be accurate, proportionate and timely.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