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Privacy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Data Protection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processes account, business, bookkeeping, payroll, tax, support and website data.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processes data to provide accounting, bookkeeping, payroll, CIS, VAT, Self Assessment and filing-preparation workflows.</w:t>
      </w:r>
    </w:p>
    <w:p>
      <w:pPr>
        <w:pStyle w:val="ListBullet"/>
      </w:pPr>
      <w:r>
        <w:t>Production suppliers should be limited to the providers actually enabled in the environment, such as hosting/database services, Stripe for billing, Resend for email and HMRC APIs where connected.</w:t>
      </w:r>
    </w:p>
    <w:p>
      <w:pPr>
        <w:pStyle w:val="Heading2"/>
      </w:pPr>
      <w:r>
        <w:t>Full policy</w:t>
      </w:r>
    </w:p>
    <w:p>
      <w:pPr>
        <w:pStyle w:val="ListBullet"/>
      </w:pPr>
      <w:r>
        <w:t>Data may include names, email addresses, business details, invoices, suppliers, customers, transactions, statements, receipts, payroll details, tax workflow data, filing evidence, support requests, audit events and billing records.</w:t>
      </w:r>
    </w:p>
    <w:p>
      <w:pPr>
        <w:pStyle w:val="ListBullet"/>
      </w:pPr>
      <w:r>
        <w:t>Finpliq uses data to operate the platform, authenticate users, manage subscriptions, send transactional emails, support compliance workflows, improve reliability and meet legal obligations.</w:t>
      </w:r>
    </w:p>
    <w:p>
      <w:pPr>
        <w:pStyle w:val="ListBullet"/>
      </w:pPr>
      <w:r>
        <w:t>HMRC data is processed only where the user connects or supplies credentials/tokens and uses the relevant filing workflow. Finpliq should not describe unsupported HMRC services as live.</w:t>
      </w:r>
    </w:p>
    <w:p>
      <w:pPr>
        <w:pStyle w:val="ListBullet"/>
      </w:pPr>
      <w:r>
        <w:t>Users have GDPR rights including access, rectification, erasure where applicable, restriction, portability and objection, subject to accounting and legal retention requirements.</w:t>
      </w:r>
    </w:p>
    <w:p>
      <w:pPr>
        <w:pStyle w:val="ListBullet"/>
      </w:pPr>
      <w:r>
        <w:t>International transfers depend on the configured suppliers and hosting arrangements. Where used, appropriate contractual safeguards should be maintained.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