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Secure Software Development Policy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Owner</w:t>
            </w:r>
          </w:p>
        </w:tc>
        <w:tc>
          <w:tcPr>
            <w:tcW w:type="dxa" w:w="5040"/>
          </w:tcPr>
          <w:p>
            <w:r>
              <w:t>Engineering</w:t>
            </w:r>
          </w:p>
        </w:tc>
      </w:tr>
      <w:tr>
        <w:tc>
          <w:tcPr>
            <w:tcW w:type="dxa" w:w="5040"/>
          </w:tcPr>
          <w:p>
            <w:r>
              <w:t>Effective from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Last reviewed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Review cycle</w:t>
            </w:r>
          </w:p>
        </w:tc>
        <w:tc>
          <w:tcPr>
            <w:tcW w:type="dxa" w:w="5040"/>
          </w:tcPr>
          <w:p>
            <w:r>
              <w:t>Annual or following material change</w:t>
            </w:r>
          </w:p>
        </w:tc>
      </w:tr>
    </w:tbl>
    <w:p>
      <w:r>
        <w:t>How Finpliq should be developed, reviewed, tested and released without weakening authentication, authorisation, tenant isolation or filing workflows.</w:t>
      </w:r>
    </w:p>
    <w:p>
      <w:pPr>
        <w:pStyle w:val="Heading1"/>
      </w:pPr>
      <w:r>
        <w:t>At a glance</w:t>
      </w:r>
    </w:p>
    <w:p>
      <w:pPr>
        <w:pStyle w:val="ListBullet"/>
      </w:pPr>
      <w:r>
        <w:t>Changes to Finpliq must preserve authentication, tenant isolation, audit logging and HMRC workflow integrity.</w:t>
      </w:r>
    </w:p>
    <w:p>
      <w:pPr>
        <w:pStyle w:val="ListBullet"/>
      </w:pPr>
      <w:r>
        <w:t>Security-sensitive changes require code review, validation and build checks before release.</w:t>
      </w:r>
    </w:p>
    <w:p>
      <w:pPr>
        <w:pStyle w:val="Heading2"/>
      </w:pPr>
      <w:r>
        <w:t>Full policy</w:t>
      </w:r>
    </w:p>
    <w:p>
      <w:pPr>
        <w:pStyle w:val="ListBullet"/>
      </w:pPr>
      <w:r>
        <w:t>Developers must follow secure coding practices, including server-side validation, output encoding, safe redirects, parameterised database access through Prisma and avoiding secrets in code or logs.</w:t>
      </w:r>
    </w:p>
    <w:p>
      <w:pPr>
        <w:pStyle w:val="ListBullet"/>
      </w:pPr>
      <w:r>
        <w:t>Code reviews should check authorisation, tenant scoping, error handling, audit logging, data exposure, dependency impact and migration safety.</w:t>
      </w:r>
    </w:p>
    <w:p>
      <w:pPr>
        <w:pStyle w:val="ListBullet"/>
      </w:pPr>
      <w:r>
        <w:t>Secrets must be stored in environment variables or secure deployment secrets, never committed to source control and never exposed to client-side code.</w:t>
      </w:r>
    </w:p>
    <w:p>
      <w:pPr>
        <w:pStyle w:val="ListBullet"/>
      </w:pPr>
      <w:r>
        <w:t>Releases should include TypeScript checks, Prisma generate, Next.js build, migration review, rollback notes and regression checks for login, settings, dashboard, banking/import, filing and admin workflows.</w:t>
      </w:r>
    </w:p>
    <w:p>
      <w:pPr>
        <w:pStyle w:val="ListBullet"/>
      </w:pPr>
      <w:r>
        <w:t>OWASP guidance should be used for common risks such as broken access control, injection, XSS, insecure design, security misconfiguration and vulnerable dependencies.</w:t>
      </w:r>
    </w:p>
    <w:p>
      <w:r>
        <w:t>This document is intended to support customer assurance, HMRC due diligence, accountant review and internal governance. It is not legal advice.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