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left"/>
      </w:pPr>
      <w:r>
        <w:t>Vulnerability Disclosure Policy</w:t>
      </w:r>
    </w:p>
    <w:tbl>
      <w:tblPr>
        <w:tblW w:type="auto" w:w="0"/>
        <w:jc w:val="left"/>
        <w:tblLook w:firstColumn="1" w:firstRow="1" w:lastColumn="0" w:lastRow="0" w:noHBand="0" w:noVBand="1" w:val="04A0"/>
      </w:tblPr>
      <w:tblGrid>
        <w:gridCol w:w="5040"/>
        <w:gridCol w:w="5040"/>
      </w:tblGrid>
      <w:tr>
        <w:tc>
          <w:tcPr>
            <w:tcW w:type="dxa" w:w="5040"/>
          </w:tcPr>
          <w:p>
            <w:r>
              <w:t>Owner</w:t>
            </w:r>
          </w:p>
        </w:tc>
        <w:tc>
          <w:tcPr>
            <w:tcW w:type="dxa" w:w="5040"/>
          </w:tcPr>
          <w:p>
            <w:r>
              <w:t>Security</w:t>
            </w:r>
          </w:p>
        </w:tc>
      </w:tr>
      <w:tr>
        <w:tc>
          <w:tcPr>
            <w:tcW w:type="dxa" w:w="5040"/>
          </w:tcPr>
          <w:p>
            <w:r>
              <w:t>Effective from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Last reviewed</w:t>
            </w:r>
          </w:p>
        </w:tc>
        <w:tc>
          <w:tcPr>
            <w:tcW w:type="dxa" w:w="5040"/>
          </w:tcPr>
          <w:p>
            <w:r>
              <w:t>8 July 2026</w:t>
            </w:r>
          </w:p>
        </w:tc>
      </w:tr>
      <w:tr>
        <w:tc>
          <w:tcPr>
            <w:tcW w:type="dxa" w:w="5040"/>
          </w:tcPr>
          <w:p>
            <w:r>
              <w:t>Review cycle</w:t>
            </w:r>
          </w:p>
        </w:tc>
        <w:tc>
          <w:tcPr>
            <w:tcW w:type="dxa" w:w="5040"/>
          </w:tcPr>
          <w:p>
            <w:r>
              <w:t>Annual or following material change</w:t>
            </w:r>
          </w:p>
        </w:tc>
      </w:tr>
    </w:tbl>
    <w:p>
      <w:r>
        <w:t>How security researchers and users can report vulnerabilities safely and responsibly.</w:t>
      </w:r>
    </w:p>
    <w:p>
      <w:pPr>
        <w:pStyle w:val="Heading1"/>
      </w:pPr>
      <w:r>
        <w:t>At a glance</w:t>
      </w:r>
    </w:p>
    <w:p>
      <w:pPr>
        <w:pStyle w:val="ListBullet"/>
      </w:pPr>
      <w:r>
        <w:t>Finpliq welcomes responsible reports of security vulnerabilities.</w:t>
      </w:r>
    </w:p>
    <w:p>
      <w:pPr>
        <w:pStyle w:val="ListBullet"/>
      </w:pPr>
      <w:r>
        <w:t>Testing must not harm customers, access data without permission or disrupt service.</w:t>
      </w:r>
    </w:p>
    <w:p>
      <w:pPr>
        <w:pStyle w:val="Heading2"/>
      </w:pPr>
      <w:r>
        <w:t>Full policy</w:t>
      </w:r>
    </w:p>
    <w:p>
      <w:pPr>
        <w:pStyle w:val="ListBullet"/>
      </w:pPr>
      <w:r>
        <w:t>Reports should include the affected URL or feature, steps to reproduce, impact, evidence and contact details.</w:t>
      </w:r>
    </w:p>
    <w:p>
      <w:pPr>
        <w:pStyle w:val="ListBullet"/>
      </w:pPr>
      <w:r>
        <w:t>Researchers must avoid destructive testing, social engineering, denial-of-service, spam, persistence, data exfiltration and access to other users' records.</w:t>
      </w:r>
    </w:p>
    <w:p>
      <w:pPr>
        <w:pStyle w:val="ListBullet"/>
      </w:pPr>
      <w:r>
        <w:t>Finpliq will review, triage and remediate valid reports based on risk and may request additional information.</w:t>
      </w:r>
    </w:p>
    <w:p>
      <w:r>
        <w:t>This document is intended to support customer assurance, HMRC due diligence, accountant review and internal governance. It is not legal advice.</w:t>
      </w:r>
    </w:p>
    <w:sectPr w:rsidR="00FC693F" w:rsidRPr="0006063C" w:rsidSect="00034616">
      <w:pgSz w:w="12240" w:h="15840"/>
      <w:pgMar w:top="1008" w:right="1080" w:bottom="1008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/>
      <w:b/>
      <w:bCs/>
      <w:color w:val="4F81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