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Vulnerability Management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Security &amp; Engineering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identifies, triages, fixes and records security weaknesses.</w:t>
      </w:r>
    </w:p>
    <w:p>
      <w:pPr>
        <w:pStyle w:val="Heading1"/>
      </w:pPr>
      <w:r>
        <w:t>At a glance</w:t>
      </w:r>
    </w:p>
    <w:p>
      <w:pPr>
        <w:pStyle w:val="ListBullet"/>
      </w:pPr>
      <w:r>
        <w:t>Security findings should be logged, prioritised and remediated based on risk.</w:t>
      </w:r>
    </w:p>
    <w:p>
      <w:pPr>
        <w:pStyle w:val="ListBullet"/>
      </w:pPr>
      <w:r>
        <w:t>Responsible disclosure reports are welcomed through the published disclosure route.</w:t>
      </w:r>
    </w:p>
    <w:p>
      <w:pPr>
        <w:pStyle w:val="Heading2"/>
      </w:pPr>
      <w:r>
        <w:t>Full policy</w:t>
      </w:r>
    </w:p>
    <w:p>
      <w:pPr>
        <w:pStyle w:val="ListBullet"/>
      </w:pPr>
      <w:r>
        <w:t>Sources include dependency alerts, code review, internal testing, responsible disclosure, security scans and operational incidents.</w:t>
      </w:r>
    </w:p>
    <w:p>
      <w:pPr>
        <w:pStyle w:val="ListBullet"/>
      </w:pPr>
      <w:r>
        <w:t>Findings are prioritised using likelihood, impact, data sensitivity, exploitability and whether customer or HMRC-related data is affected.</w:t>
      </w:r>
    </w:p>
    <w:p>
      <w:pPr>
        <w:pStyle w:val="ListBullet"/>
      </w:pPr>
      <w:r>
        <w:t>Critical issues require immediate triage and mitigation. Lower-risk items should be scheduled into the release backlog with accountability.</w:t>
      </w:r>
    </w:p>
    <w:p>
      <w:pPr>
        <w:pStyle w:val="ListBullet"/>
      </w:pPr>
      <w:r>
        <w:t>Vulnerability fixes must be regression-tested against authentication, tenant isolation and filing workflows.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